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8DFE8C" w14:textId="7FF191C7" w:rsidR="00122F75" w:rsidRPr="00BF02BA" w:rsidRDefault="00122F75" w:rsidP="00122F75">
      <w:pPr>
        <w:pStyle w:val="Heading1"/>
      </w:pPr>
      <w:r w:rsidRPr="00BF02BA">
        <w:t xml:space="preserve">OBI’s Event Funding Program – </w:t>
      </w:r>
      <w:r>
        <w:t xml:space="preserve">Guidelines for Events </w:t>
      </w:r>
    </w:p>
    <w:p w14:paraId="1CF3BA97" w14:textId="7CC68547" w:rsidR="00122F75" w:rsidRDefault="00122F75" w:rsidP="00122F75">
      <w:pPr>
        <w:pStyle w:val="ListParagraph"/>
        <w:numPr>
          <w:ilvl w:val="0"/>
          <w:numId w:val="1"/>
        </w:numPr>
        <w:spacing w:after="160" w:line="259" w:lineRule="auto"/>
        <w:rPr>
          <w:rFonts w:ascii="Helvetica" w:hAnsi="Helvetica" w:cs="Helvetica"/>
          <w:lang w:val="en-US"/>
        </w:rPr>
      </w:pPr>
      <w:r w:rsidRPr="00122F75">
        <w:rPr>
          <w:rFonts w:ascii="Helvetica" w:hAnsi="Helvetica" w:cs="Helvetica"/>
          <w:lang w:val="en-US"/>
        </w:rPr>
        <w:t xml:space="preserve">Events organized are </w:t>
      </w:r>
      <w:r w:rsidR="000B2486">
        <w:rPr>
          <w:rFonts w:ascii="Helvetica" w:hAnsi="Helvetica" w:cs="Helvetica"/>
          <w:lang w:val="en-US"/>
        </w:rPr>
        <w:t xml:space="preserve">encouraged to have </w:t>
      </w:r>
      <w:r w:rsidR="006F774B">
        <w:rPr>
          <w:rFonts w:ascii="Helvetica" w:hAnsi="Helvetica" w:cs="Helvetica"/>
          <w:lang w:val="en-US"/>
        </w:rPr>
        <w:t xml:space="preserve">a “hybrid” </w:t>
      </w:r>
      <w:r w:rsidR="00F52E17">
        <w:rPr>
          <w:rFonts w:ascii="Helvetica" w:hAnsi="Helvetica" w:cs="Helvetica"/>
          <w:lang w:val="en-US"/>
        </w:rPr>
        <w:t>model or</w:t>
      </w:r>
      <w:r w:rsidR="006F774B">
        <w:rPr>
          <w:rFonts w:ascii="Helvetica" w:hAnsi="Helvetica" w:cs="Helvetica"/>
          <w:lang w:val="en-US"/>
        </w:rPr>
        <w:t xml:space="preserve"> provide a virtual </w:t>
      </w:r>
      <w:r w:rsidR="00AF2AD9">
        <w:rPr>
          <w:rFonts w:ascii="Helvetica" w:hAnsi="Helvetica" w:cs="Helvetica"/>
          <w:lang w:val="en-US"/>
        </w:rPr>
        <w:t xml:space="preserve">participation </w:t>
      </w:r>
      <w:r w:rsidR="006F774B">
        <w:rPr>
          <w:rFonts w:ascii="Helvetica" w:hAnsi="Helvetica" w:cs="Helvetica"/>
          <w:lang w:val="en-US"/>
        </w:rPr>
        <w:t>option</w:t>
      </w:r>
      <w:r w:rsidR="00AF2AD9">
        <w:rPr>
          <w:rFonts w:ascii="Helvetica" w:hAnsi="Helvetica" w:cs="Helvetica"/>
          <w:lang w:val="en-US"/>
        </w:rPr>
        <w:t xml:space="preserve"> in addition to an in-person option. </w:t>
      </w:r>
    </w:p>
    <w:p w14:paraId="42EE3B78" w14:textId="77777777" w:rsidR="00F52E17" w:rsidRPr="00122F75" w:rsidRDefault="00F52E17" w:rsidP="00F52E17">
      <w:pPr>
        <w:pStyle w:val="ListParagraph"/>
        <w:spacing w:after="160" w:line="259" w:lineRule="auto"/>
        <w:rPr>
          <w:rFonts w:ascii="Helvetica" w:hAnsi="Helvetica" w:cs="Helvetica"/>
          <w:lang w:val="en-US"/>
        </w:rPr>
      </w:pPr>
    </w:p>
    <w:p w14:paraId="4E6B22F1" w14:textId="39946D1E" w:rsidR="00122F75" w:rsidRPr="00122F75" w:rsidRDefault="00122F75" w:rsidP="00122F75">
      <w:pPr>
        <w:pStyle w:val="ListParagraph"/>
        <w:numPr>
          <w:ilvl w:val="0"/>
          <w:numId w:val="1"/>
        </w:numPr>
        <w:rPr>
          <w:rFonts w:ascii="Helvetica" w:hAnsi="Helvetica" w:cs="Helvetica"/>
        </w:rPr>
      </w:pPr>
      <w:r w:rsidRPr="00122F75">
        <w:rPr>
          <w:rFonts w:ascii="Helvetica" w:hAnsi="Helvetica" w:cs="Helvetica"/>
        </w:rPr>
        <w:t>What expenses are covered by the Event Funding Program?</w:t>
      </w:r>
    </w:p>
    <w:p w14:paraId="41004A52" w14:textId="77777777" w:rsidR="00122F75" w:rsidRPr="00122F75" w:rsidRDefault="00122F75" w:rsidP="00122F75">
      <w:pPr>
        <w:pStyle w:val="ListParagraph"/>
        <w:numPr>
          <w:ilvl w:val="1"/>
          <w:numId w:val="1"/>
        </w:numPr>
        <w:rPr>
          <w:rFonts w:ascii="Helvetica" w:hAnsi="Helvetica" w:cs="Helvetica"/>
        </w:rPr>
      </w:pPr>
      <w:r w:rsidRPr="00122F75">
        <w:rPr>
          <w:rFonts w:ascii="Helvetica" w:hAnsi="Helvetica" w:cs="Helvetica"/>
        </w:rPr>
        <w:t>Honoraria/gifts for speakers</w:t>
      </w:r>
    </w:p>
    <w:p w14:paraId="432FF4EB" w14:textId="77777777" w:rsidR="00122F75" w:rsidRPr="00122F75" w:rsidRDefault="00122F75" w:rsidP="00122F75">
      <w:pPr>
        <w:pStyle w:val="ListParagraph"/>
        <w:numPr>
          <w:ilvl w:val="1"/>
          <w:numId w:val="1"/>
        </w:numPr>
        <w:rPr>
          <w:rFonts w:ascii="Helvetica" w:hAnsi="Helvetica" w:cs="Helvetica"/>
        </w:rPr>
      </w:pPr>
      <w:r w:rsidRPr="00122F75">
        <w:rPr>
          <w:rFonts w:ascii="Helvetica" w:hAnsi="Helvetica" w:cs="Helvetica"/>
        </w:rPr>
        <w:t>Printing and advertising</w:t>
      </w:r>
    </w:p>
    <w:p w14:paraId="21D3C001" w14:textId="406A78F3" w:rsidR="00122F75" w:rsidRPr="00122F75" w:rsidRDefault="00122F75" w:rsidP="00122F75">
      <w:pPr>
        <w:pStyle w:val="ListParagraph"/>
        <w:numPr>
          <w:ilvl w:val="1"/>
          <w:numId w:val="1"/>
        </w:numPr>
        <w:rPr>
          <w:rFonts w:ascii="Helvetica" w:hAnsi="Helvetica" w:cs="Helvetica"/>
        </w:rPr>
      </w:pPr>
      <w:r w:rsidRPr="00122F75">
        <w:rPr>
          <w:rFonts w:ascii="Helvetica" w:hAnsi="Helvetica" w:cs="Helvetica"/>
        </w:rPr>
        <w:t xml:space="preserve">Venue and AV costs </w:t>
      </w:r>
      <w:r w:rsidRPr="00122F75">
        <w:rPr>
          <w:rFonts w:ascii="Helvetica" w:hAnsi="Helvetica" w:cs="Helvetica"/>
          <w:lang w:val="en-US"/>
        </w:rPr>
        <w:t xml:space="preserve">(including </w:t>
      </w:r>
      <w:r w:rsidR="00AF2AD9">
        <w:rPr>
          <w:rFonts w:ascii="Helvetica" w:hAnsi="Helvetica" w:cs="Helvetica"/>
          <w:lang w:val="en-US"/>
        </w:rPr>
        <w:t xml:space="preserve">single-use </w:t>
      </w:r>
      <w:r w:rsidRPr="00122F75">
        <w:rPr>
          <w:rFonts w:ascii="Helvetica" w:hAnsi="Helvetica" w:cs="Helvetica"/>
          <w:lang w:val="en-US"/>
        </w:rPr>
        <w:t>platform costs such as</w:t>
      </w:r>
      <w:r w:rsidR="00AF2AD9">
        <w:rPr>
          <w:rFonts w:ascii="Helvetica" w:hAnsi="Helvetica" w:cs="Helvetica"/>
          <w:lang w:val="en-US"/>
        </w:rPr>
        <w:t xml:space="preserve"> </w:t>
      </w:r>
      <w:proofErr w:type="spellStart"/>
      <w:r w:rsidR="00AF2AD9">
        <w:rPr>
          <w:rFonts w:ascii="Helvetica" w:hAnsi="Helvetica" w:cs="Helvetica"/>
          <w:lang w:val="en-US"/>
        </w:rPr>
        <w:t>Whova</w:t>
      </w:r>
      <w:proofErr w:type="spellEnd"/>
      <w:r w:rsidR="00AF2AD9">
        <w:rPr>
          <w:rFonts w:ascii="Helvetica" w:hAnsi="Helvetica" w:cs="Helvetica"/>
          <w:lang w:val="en-US"/>
        </w:rPr>
        <w:t>, or</w:t>
      </w:r>
      <w:r w:rsidRPr="00122F75">
        <w:rPr>
          <w:rFonts w:ascii="Helvetica" w:hAnsi="Helvetica" w:cs="Helvetica"/>
          <w:lang w:val="en-US"/>
        </w:rPr>
        <w:t xml:space="preserve"> upgrades to accommodate higher </w:t>
      </w:r>
      <w:r w:rsidR="00AF2AD9">
        <w:rPr>
          <w:rFonts w:ascii="Helvetica" w:hAnsi="Helvetica" w:cs="Helvetica"/>
          <w:lang w:val="en-US"/>
        </w:rPr>
        <w:t xml:space="preserve">virtual </w:t>
      </w:r>
      <w:r w:rsidRPr="00122F75">
        <w:rPr>
          <w:rFonts w:ascii="Helvetica" w:hAnsi="Helvetica" w:cs="Helvetica"/>
          <w:lang w:val="en-US"/>
        </w:rPr>
        <w:t>audience attendance)</w:t>
      </w:r>
    </w:p>
    <w:p w14:paraId="537997AA" w14:textId="7F22797C" w:rsidR="00122F75" w:rsidRPr="00122F75" w:rsidRDefault="00122F75" w:rsidP="00122F75">
      <w:pPr>
        <w:pStyle w:val="ListParagraph"/>
        <w:numPr>
          <w:ilvl w:val="1"/>
          <w:numId w:val="1"/>
        </w:numPr>
        <w:rPr>
          <w:rFonts w:ascii="Helvetica" w:hAnsi="Helvetica" w:cs="Helvetica"/>
        </w:rPr>
      </w:pPr>
      <w:r w:rsidRPr="00122F75">
        <w:rPr>
          <w:rFonts w:ascii="Helvetica" w:hAnsi="Helvetica" w:cs="Helvetica"/>
        </w:rPr>
        <w:t>Prizes</w:t>
      </w:r>
      <w:r w:rsidR="00AF2AD9">
        <w:rPr>
          <w:rFonts w:ascii="Helvetica" w:hAnsi="Helvetica" w:cs="Helvetica"/>
        </w:rPr>
        <w:t xml:space="preserve"> (please provide rationale for including)</w:t>
      </w:r>
    </w:p>
    <w:p w14:paraId="7ABC4286" w14:textId="66F3EABA" w:rsidR="00122F75" w:rsidRDefault="00122F75" w:rsidP="00122F75">
      <w:pPr>
        <w:pStyle w:val="ListParagraph"/>
        <w:numPr>
          <w:ilvl w:val="1"/>
          <w:numId w:val="1"/>
        </w:numPr>
        <w:rPr>
          <w:rFonts w:ascii="Helvetica" w:hAnsi="Helvetica" w:cs="Helvetica"/>
        </w:rPr>
      </w:pPr>
      <w:r w:rsidRPr="00122F75">
        <w:rPr>
          <w:rFonts w:ascii="Helvetica" w:hAnsi="Helvetica" w:cs="Helvetica"/>
        </w:rPr>
        <w:t>Other event-related supplies</w:t>
      </w:r>
      <w:r w:rsidR="00AF2AD9">
        <w:rPr>
          <w:rFonts w:ascii="Helvetica" w:hAnsi="Helvetica" w:cs="Helvetica"/>
        </w:rPr>
        <w:t xml:space="preserve"> – please see Appendix A on the following page for more information on expense guidelines</w:t>
      </w:r>
    </w:p>
    <w:p w14:paraId="3680DE2D" w14:textId="77777777" w:rsidR="00F52E17" w:rsidRPr="00122F75" w:rsidRDefault="00F52E17" w:rsidP="00F52E17">
      <w:pPr>
        <w:pStyle w:val="ListParagraph"/>
        <w:ind w:left="1440"/>
        <w:rPr>
          <w:rFonts w:ascii="Helvetica" w:hAnsi="Helvetica" w:cs="Helvetica"/>
        </w:rPr>
      </w:pPr>
    </w:p>
    <w:p w14:paraId="235112DB" w14:textId="77777777" w:rsidR="00122F75" w:rsidRPr="00122F75" w:rsidRDefault="00122F75" w:rsidP="00122F75">
      <w:pPr>
        <w:pStyle w:val="ListParagraph"/>
        <w:numPr>
          <w:ilvl w:val="0"/>
          <w:numId w:val="1"/>
        </w:numPr>
        <w:rPr>
          <w:rFonts w:ascii="Helvetica" w:hAnsi="Helvetica" w:cs="Helvetica"/>
        </w:rPr>
      </w:pPr>
      <w:r w:rsidRPr="00122F75">
        <w:rPr>
          <w:rFonts w:ascii="Helvetica" w:hAnsi="Helvetica" w:cs="Helvetica"/>
        </w:rPr>
        <w:t>What expenses are NOT covered by the Event Funding Program?</w:t>
      </w:r>
    </w:p>
    <w:p w14:paraId="6FA9620D" w14:textId="77777777" w:rsidR="00122F75" w:rsidRPr="00122F75" w:rsidRDefault="00122F75" w:rsidP="00122F75">
      <w:pPr>
        <w:pStyle w:val="ListParagraph"/>
        <w:numPr>
          <w:ilvl w:val="1"/>
          <w:numId w:val="1"/>
        </w:numPr>
        <w:rPr>
          <w:rFonts w:ascii="Helvetica" w:hAnsi="Helvetica" w:cs="Helvetica"/>
        </w:rPr>
      </w:pPr>
      <w:r w:rsidRPr="00122F75">
        <w:rPr>
          <w:rFonts w:ascii="Helvetica" w:hAnsi="Helvetica" w:cs="Helvetica"/>
        </w:rPr>
        <w:t>Staffing/hiring costs</w:t>
      </w:r>
    </w:p>
    <w:p w14:paraId="502384FB" w14:textId="77777777" w:rsidR="00122F75" w:rsidRPr="00122F75" w:rsidRDefault="00122F75" w:rsidP="00122F75">
      <w:pPr>
        <w:pStyle w:val="ListParagraph"/>
        <w:numPr>
          <w:ilvl w:val="1"/>
          <w:numId w:val="1"/>
        </w:numPr>
        <w:rPr>
          <w:rFonts w:ascii="Helvetica" w:hAnsi="Helvetica" w:cs="Helvetica"/>
        </w:rPr>
      </w:pPr>
      <w:r w:rsidRPr="00122F75">
        <w:rPr>
          <w:rFonts w:ascii="Helvetica" w:hAnsi="Helvetica" w:cs="Helvetica"/>
        </w:rPr>
        <w:t>Teaching/clinician release time</w:t>
      </w:r>
    </w:p>
    <w:p w14:paraId="7DB17F8D" w14:textId="0D856679" w:rsidR="00122F75" w:rsidRDefault="00122F75" w:rsidP="00122F75">
      <w:pPr>
        <w:pStyle w:val="ListParagraph"/>
        <w:numPr>
          <w:ilvl w:val="1"/>
          <w:numId w:val="1"/>
        </w:numPr>
        <w:rPr>
          <w:rFonts w:ascii="Helvetica" w:hAnsi="Helvetica" w:cs="Helvetica"/>
        </w:rPr>
      </w:pPr>
      <w:r w:rsidRPr="00122F75">
        <w:rPr>
          <w:rFonts w:ascii="Helvetica" w:hAnsi="Helvetica" w:cs="Helvetica"/>
        </w:rPr>
        <w:t>Equipment</w:t>
      </w:r>
    </w:p>
    <w:p w14:paraId="51B8E575" w14:textId="26483884" w:rsidR="00A43FC7" w:rsidRPr="00122F75" w:rsidRDefault="00A43FC7" w:rsidP="00122F75">
      <w:pPr>
        <w:pStyle w:val="ListParagraph"/>
        <w:numPr>
          <w:ilvl w:val="1"/>
          <w:numId w:val="1"/>
        </w:numPr>
        <w:rPr>
          <w:rFonts w:ascii="Helvetica" w:hAnsi="Helvetica" w:cs="Helvetica"/>
        </w:rPr>
      </w:pPr>
      <w:r>
        <w:rPr>
          <w:rFonts w:ascii="Helvetica" w:hAnsi="Helvetica" w:cs="Helvetica"/>
        </w:rPr>
        <w:t xml:space="preserve">Subscription costs for service platforms </w:t>
      </w:r>
      <w:r w:rsidR="00640ABC">
        <w:rPr>
          <w:rFonts w:ascii="Helvetica" w:hAnsi="Helvetica" w:cs="Helvetica"/>
        </w:rPr>
        <w:t>used on an ongoing basis by the applicant (e.g., fundraising platforms)</w:t>
      </w:r>
    </w:p>
    <w:p w14:paraId="5B10C9FF" w14:textId="48854B83" w:rsidR="00383AA9" w:rsidRPr="00122F75" w:rsidRDefault="00383AA9">
      <w:pPr>
        <w:rPr>
          <w:rFonts w:ascii="Helvetica" w:hAnsi="Helvetica" w:cs="Helvetica"/>
        </w:rPr>
      </w:pPr>
    </w:p>
    <w:p w14:paraId="3CAEB6D5" w14:textId="5B10A23D" w:rsidR="00122F75" w:rsidRDefault="00122F75">
      <w:pPr>
        <w:rPr>
          <w:rFonts w:ascii="Helvetica" w:hAnsi="Helvetica" w:cs="Helvetica"/>
          <w:sz w:val="18"/>
          <w:szCs w:val="20"/>
        </w:rPr>
      </w:pPr>
      <w:r w:rsidRPr="00122F75">
        <w:rPr>
          <w:rFonts w:ascii="Helvetica" w:hAnsi="Helvetica" w:cs="Helvetica"/>
          <w:sz w:val="18"/>
          <w:szCs w:val="20"/>
        </w:rPr>
        <w:t xml:space="preserve">These guidelines were last updated </w:t>
      </w:r>
      <w:r w:rsidR="00640ABC">
        <w:rPr>
          <w:rFonts w:ascii="Helvetica" w:hAnsi="Helvetica" w:cs="Helvetica"/>
          <w:sz w:val="18"/>
          <w:szCs w:val="20"/>
        </w:rPr>
        <w:t>21</w:t>
      </w:r>
      <w:r w:rsidRPr="00122F75">
        <w:rPr>
          <w:rFonts w:ascii="Helvetica" w:hAnsi="Helvetica" w:cs="Helvetica"/>
          <w:sz w:val="18"/>
          <w:szCs w:val="20"/>
        </w:rPr>
        <w:t>/</w:t>
      </w:r>
      <w:r w:rsidR="00640ABC">
        <w:rPr>
          <w:rFonts w:ascii="Helvetica" w:hAnsi="Helvetica" w:cs="Helvetica"/>
          <w:sz w:val="18"/>
          <w:szCs w:val="20"/>
        </w:rPr>
        <w:t>07</w:t>
      </w:r>
      <w:r w:rsidRPr="00122F75">
        <w:rPr>
          <w:rFonts w:ascii="Helvetica" w:hAnsi="Helvetica" w:cs="Helvetica"/>
          <w:sz w:val="18"/>
          <w:szCs w:val="20"/>
        </w:rPr>
        <w:t>/202</w:t>
      </w:r>
      <w:r w:rsidR="00640ABC">
        <w:rPr>
          <w:rFonts w:ascii="Helvetica" w:hAnsi="Helvetica" w:cs="Helvetica"/>
          <w:sz w:val="18"/>
          <w:szCs w:val="20"/>
        </w:rPr>
        <w:t>2</w:t>
      </w:r>
    </w:p>
    <w:p w14:paraId="282CD6F4" w14:textId="5B3F0B7B" w:rsidR="005E47D4" w:rsidRDefault="005E47D4">
      <w:pPr>
        <w:rPr>
          <w:rFonts w:ascii="Helvetica" w:hAnsi="Helvetica" w:cs="Helvetica"/>
          <w:sz w:val="18"/>
          <w:szCs w:val="20"/>
        </w:rPr>
      </w:pPr>
    </w:p>
    <w:p w14:paraId="1CA85A68" w14:textId="01A110C4" w:rsidR="005E47D4" w:rsidRDefault="005E47D4">
      <w:pPr>
        <w:rPr>
          <w:rFonts w:ascii="Helvetica" w:hAnsi="Helvetica" w:cs="Helvetica"/>
          <w:sz w:val="18"/>
          <w:szCs w:val="20"/>
        </w:rPr>
      </w:pPr>
    </w:p>
    <w:p w14:paraId="0491A997" w14:textId="2FA3EA17" w:rsidR="005E47D4" w:rsidRDefault="005E47D4">
      <w:pPr>
        <w:spacing w:after="160" w:line="259" w:lineRule="auto"/>
        <w:rPr>
          <w:rFonts w:ascii="Helvetica" w:hAnsi="Helvetica" w:cs="Helvetica"/>
          <w:sz w:val="18"/>
          <w:szCs w:val="20"/>
        </w:rPr>
      </w:pPr>
      <w:r>
        <w:rPr>
          <w:rFonts w:ascii="Helvetica" w:hAnsi="Helvetica" w:cs="Helvetica"/>
          <w:sz w:val="18"/>
          <w:szCs w:val="20"/>
        </w:rPr>
        <w:br w:type="page"/>
      </w:r>
    </w:p>
    <w:p w14:paraId="3E584FFE" w14:textId="5D01A2BB" w:rsidR="005E47D4" w:rsidRDefault="005E47D4">
      <w:pPr>
        <w:rPr>
          <w:rFonts w:ascii="Helvetica" w:hAnsi="Helvetica" w:cs="Helvetica"/>
          <w:sz w:val="18"/>
          <w:szCs w:val="20"/>
        </w:rPr>
      </w:pPr>
    </w:p>
    <w:p w14:paraId="22CCC982" w14:textId="255B5772" w:rsidR="005E47D4" w:rsidRDefault="005E47D4">
      <w:pPr>
        <w:rPr>
          <w:rFonts w:ascii="Helvetica" w:hAnsi="Helvetica" w:cs="Helvetica"/>
          <w:sz w:val="18"/>
          <w:szCs w:val="20"/>
        </w:rPr>
      </w:pPr>
    </w:p>
    <w:p w14:paraId="3C367460" w14:textId="101B570D" w:rsidR="005E47D4" w:rsidRDefault="005E47D4">
      <w:pPr>
        <w:rPr>
          <w:rFonts w:ascii="Helvetica" w:hAnsi="Helvetica" w:cs="Helvetica"/>
          <w:sz w:val="18"/>
          <w:szCs w:val="20"/>
        </w:rPr>
      </w:pPr>
    </w:p>
    <w:p w14:paraId="48DC2557" w14:textId="77777777" w:rsidR="000B7961" w:rsidRPr="000B7961" w:rsidRDefault="000B7961" w:rsidP="000B7961">
      <w:pPr>
        <w:jc w:val="center"/>
        <w:rPr>
          <w:rFonts w:ascii="Cambria" w:hAnsi="Cambria"/>
          <w:b/>
          <w:u w:val="single"/>
        </w:rPr>
      </w:pPr>
      <w:r w:rsidRPr="000B7961">
        <w:rPr>
          <w:rFonts w:ascii="Cambria" w:hAnsi="Cambria"/>
          <w:b/>
          <w:u w:val="single"/>
        </w:rPr>
        <w:t>Appendix A – Expense Guidelines</w:t>
      </w:r>
    </w:p>
    <w:p w14:paraId="4091568B" w14:textId="77777777" w:rsidR="000B7961" w:rsidRPr="000B7961" w:rsidRDefault="000B7961" w:rsidP="000B7961">
      <w:pPr>
        <w:rPr>
          <w:rFonts w:ascii="Cambria" w:hAnsi="Cambria"/>
        </w:rPr>
      </w:pPr>
    </w:p>
    <w:tbl>
      <w:tblPr>
        <w:tblStyle w:val="TableGrid"/>
        <w:tblW w:w="9669" w:type="dxa"/>
        <w:tblLook w:val="04A0" w:firstRow="1" w:lastRow="0" w:firstColumn="1" w:lastColumn="0" w:noHBand="0" w:noVBand="1"/>
      </w:tblPr>
      <w:tblGrid>
        <w:gridCol w:w="1698"/>
        <w:gridCol w:w="273"/>
        <w:gridCol w:w="7698"/>
      </w:tblGrid>
      <w:tr w:rsidR="000B7961" w:rsidRPr="000B7961" w14:paraId="1E099953" w14:textId="77777777" w:rsidTr="004B4FCE">
        <w:tc>
          <w:tcPr>
            <w:tcW w:w="9669" w:type="dxa"/>
            <w:gridSpan w:val="3"/>
            <w:shd w:val="clear" w:color="auto" w:fill="F2F2F2" w:themeFill="background1" w:themeFillShade="F2"/>
          </w:tcPr>
          <w:p w14:paraId="22B1E778" w14:textId="77777777" w:rsidR="000B7961" w:rsidRPr="000B7961" w:rsidRDefault="000B7961" w:rsidP="004B4FCE">
            <w:pPr>
              <w:jc w:val="center"/>
              <w:rPr>
                <w:rFonts w:ascii="Cambria" w:hAnsi="Cambria"/>
                <w:b/>
                <w:sz w:val="20"/>
                <w:szCs w:val="20"/>
              </w:rPr>
            </w:pPr>
            <w:r w:rsidRPr="000B7961">
              <w:rPr>
                <w:rFonts w:ascii="Cambria" w:hAnsi="Cambria"/>
                <w:b/>
                <w:sz w:val="20"/>
                <w:szCs w:val="20"/>
              </w:rPr>
              <w:t>Event Speaker Meals</w:t>
            </w:r>
          </w:p>
        </w:tc>
      </w:tr>
      <w:tr w:rsidR="000B7961" w:rsidRPr="000B7961" w14:paraId="1A317CF7" w14:textId="77777777" w:rsidTr="004B4FCE">
        <w:trPr>
          <w:trHeight w:val="1784"/>
        </w:trPr>
        <w:tc>
          <w:tcPr>
            <w:tcW w:w="9669" w:type="dxa"/>
            <w:gridSpan w:val="3"/>
          </w:tcPr>
          <w:p w14:paraId="714BB780" w14:textId="77777777" w:rsidR="000B7961" w:rsidRPr="000B7961" w:rsidRDefault="000B7961" w:rsidP="004B4FCE">
            <w:pPr>
              <w:rPr>
                <w:rFonts w:ascii="Cambria" w:hAnsi="Cambria" w:cs="Arial"/>
                <w:sz w:val="20"/>
                <w:szCs w:val="20"/>
              </w:rPr>
            </w:pPr>
            <w:r w:rsidRPr="000B7961">
              <w:rPr>
                <w:rFonts w:ascii="Cambria" w:hAnsi="Cambria"/>
                <w:b/>
                <w:i/>
                <w:sz w:val="20"/>
                <w:szCs w:val="20"/>
              </w:rPr>
              <w:t>Per diem amounts: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2663"/>
              <w:gridCol w:w="1980"/>
            </w:tblGrid>
            <w:tr w:rsidR="000B7961" w:rsidRPr="000B7961" w14:paraId="1DE8A800" w14:textId="77777777" w:rsidTr="004B4FCE">
              <w:trPr>
                <w:trHeight w:val="179"/>
                <w:jc w:val="center"/>
              </w:trPr>
              <w:tc>
                <w:tcPr>
                  <w:tcW w:w="1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0CBAC1B" w14:textId="77777777" w:rsidR="000B7961" w:rsidRPr="000B7961" w:rsidRDefault="000B7961" w:rsidP="004B4FCE">
                  <w:pPr>
                    <w:pStyle w:val="ListParagraph"/>
                    <w:ind w:left="360"/>
                    <w:rPr>
                      <w:rFonts w:ascii="Cambria" w:hAnsi="Cambria" w:cs="Arial"/>
                      <w:sz w:val="20"/>
                      <w:szCs w:val="20"/>
                      <w:lang w:eastAsia="zh-CN"/>
                    </w:rPr>
                  </w:pPr>
                  <w:r w:rsidRPr="000B7961">
                    <w:rPr>
                      <w:rFonts w:ascii="Cambria" w:hAnsi="Cambria" w:cs="Arial"/>
                      <w:sz w:val="20"/>
                      <w:szCs w:val="20"/>
                      <w:lang w:eastAsia="zh-CN"/>
                    </w:rPr>
                    <w:t>Meal</w:t>
                  </w:r>
                </w:p>
              </w:tc>
              <w:tc>
                <w:tcPr>
                  <w:tcW w:w="26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962C00" w14:textId="77777777" w:rsidR="000B7961" w:rsidRPr="000B7961" w:rsidRDefault="000B7961" w:rsidP="004B4FCE">
                  <w:pPr>
                    <w:pStyle w:val="ListParagraph"/>
                    <w:ind w:left="360"/>
                    <w:jc w:val="center"/>
                    <w:rPr>
                      <w:rFonts w:ascii="Cambria" w:hAnsi="Cambria" w:cs="Arial"/>
                      <w:sz w:val="20"/>
                      <w:szCs w:val="20"/>
                      <w:lang w:eastAsia="zh-CN"/>
                    </w:rPr>
                  </w:pPr>
                  <w:r w:rsidRPr="000B7961">
                    <w:rPr>
                      <w:rFonts w:ascii="Cambria" w:hAnsi="Cambria" w:cs="Arial"/>
                      <w:sz w:val="20"/>
                      <w:szCs w:val="20"/>
                      <w:lang w:eastAsia="zh-CN"/>
                    </w:rPr>
                    <w:t>Canada</w:t>
                  </w:r>
                </w:p>
              </w:tc>
              <w:tc>
                <w:tcPr>
                  <w:tcW w:w="19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22CB93" w14:textId="77777777" w:rsidR="000B7961" w:rsidRPr="000B7961" w:rsidRDefault="000B7961" w:rsidP="004B4FCE">
                  <w:pPr>
                    <w:pStyle w:val="ListParagraph"/>
                    <w:ind w:left="360"/>
                    <w:rPr>
                      <w:rFonts w:ascii="Cambria" w:hAnsi="Cambria" w:cs="Arial"/>
                      <w:sz w:val="20"/>
                      <w:szCs w:val="20"/>
                      <w:lang w:eastAsia="zh-CN"/>
                    </w:rPr>
                  </w:pPr>
                  <w:r w:rsidRPr="000B7961">
                    <w:rPr>
                      <w:rFonts w:ascii="Cambria" w:hAnsi="Cambria" w:cs="Arial"/>
                      <w:sz w:val="20"/>
                      <w:szCs w:val="20"/>
                      <w:lang w:eastAsia="zh-CN"/>
                    </w:rPr>
                    <w:t>United States</w:t>
                  </w:r>
                </w:p>
              </w:tc>
            </w:tr>
            <w:tr w:rsidR="000B7961" w:rsidRPr="000B7961" w14:paraId="0A255993" w14:textId="77777777" w:rsidTr="004B4FCE">
              <w:trPr>
                <w:jc w:val="center"/>
              </w:trPr>
              <w:tc>
                <w:tcPr>
                  <w:tcW w:w="1765" w:type="dxa"/>
                  <w:tcBorders>
                    <w:top w:val="single" w:sz="4" w:space="0" w:color="auto"/>
                    <w:left w:val="single" w:sz="4" w:space="0" w:color="auto"/>
                    <w:bottom w:val="single" w:sz="4" w:space="0" w:color="auto"/>
                    <w:right w:val="single" w:sz="4" w:space="0" w:color="auto"/>
                  </w:tcBorders>
                  <w:hideMark/>
                </w:tcPr>
                <w:p w14:paraId="0181BEDA" w14:textId="77777777" w:rsidR="000B7961" w:rsidRPr="000B7961" w:rsidRDefault="000B7961" w:rsidP="004B4FCE">
                  <w:pPr>
                    <w:pStyle w:val="ListParagraph"/>
                    <w:ind w:left="360"/>
                    <w:rPr>
                      <w:rFonts w:ascii="Cambria" w:hAnsi="Cambria" w:cs="Arial"/>
                      <w:sz w:val="20"/>
                      <w:szCs w:val="20"/>
                      <w:lang w:eastAsia="zh-CN"/>
                    </w:rPr>
                  </w:pPr>
                  <w:r w:rsidRPr="000B7961">
                    <w:rPr>
                      <w:rFonts w:ascii="Cambria" w:hAnsi="Cambria" w:cs="Arial"/>
                      <w:sz w:val="20"/>
                      <w:szCs w:val="20"/>
                      <w:lang w:eastAsia="zh-CN"/>
                    </w:rPr>
                    <w:t xml:space="preserve">One Meal </w:t>
                  </w:r>
                </w:p>
              </w:tc>
              <w:tc>
                <w:tcPr>
                  <w:tcW w:w="2663" w:type="dxa"/>
                  <w:tcBorders>
                    <w:top w:val="single" w:sz="4" w:space="0" w:color="auto"/>
                    <w:left w:val="single" w:sz="4" w:space="0" w:color="auto"/>
                    <w:bottom w:val="single" w:sz="4" w:space="0" w:color="auto"/>
                    <w:right w:val="single" w:sz="4" w:space="0" w:color="auto"/>
                  </w:tcBorders>
                  <w:hideMark/>
                </w:tcPr>
                <w:p w14:paraId="6983632C" w14:textId="77777777" w:rsidR="000B7961" w:rsidRPr="000B7961" w:rsidRDefault="000B7961" w:rsidP="004B4FCE">
                  <w:pPr>
                    <w:pStyle w:val="ListParagraph"/>
                    <w:ind w:left="360"/>
                    <w:jc w:val="center"/>
                    <w:rPr>
                      <w:rFonts w:ascii="Cambria" w:hAnsi="Cambria" w:cs="Arial"/>
                      <w:sz w:val="20"/>
                      <w:szCs w:val="20"/>
                      <w:lang w:eastAsia="zh-CN"/>
                    </w:rPr>
                  </w:pPr>
                  <w:r w:rsidRPr="000B7961">
                    <w:rPr>
                      <w:rFonts w:ascii="Cambria" w:hAnsi="Cambria" w:cs="Arial"/>
                      <w:sz w:val="20"/>
                      <w:szCs w:val="20"/>
                      <w:lang w:eastAsia="zh-CN"/>
                    </w:rPr>
                    <w:t>Up to CAN$30</w:t>
                  </w:r>
                </w:p>
              </w:tc>
              <w:tc>
                <w:tcPr>
                  <w:tcW w:w="1980" w:type="dxa"/>
                  <w:tcBorders>
                    <w:top w:val="single" w:sz="4" w:space="0" w:color="auto"/>
                    <w:left w:val="single" w:sz="4" w:space="0" w:color="auto"/>
                    <w:bottom w:val="single" w:sz="4" w:space="0" w:color="auto"/>
                    <w:right w:val="single" w:sz="4" w:space="0" w:color="auto"/>
                  </w:tcBorders>
                  <w:hideMark/>
                </w:tcPr>
                <w:p w14:paraId="70806EBE" w14:textId="77777777" w:rsidR="000B7961" w:rsidRPr="000B7961" w:rsidRDefault="000B7961" w:rsidP="004B4FCE">
                  <w:pPr>
                    <w:pStyle w:val="ListParagraph"/>
                    <w:ind w:left="360"/>
                    <w:rPr>
                      <w:rFonts w:ascii="Cambria" w:hAnsi="Cambria" w:cs="Arial"/>
                      <w:sz w:val="20"/>
                      <w:szCs w:val="20"/>
                      <w:lang w:eastAsia="zh-CN"/>
                    </w:rPr>
                  </w:pPr>
                  <w:r w:rsidRPr="000B7961">
                    <w:rPr>
                      <w:rFonts w:ascii="Cambria" w:hAnsi="Cambria" w:cs="Arial"/>
                      <w:sz w:val="20"/>
                      <w:szCs w:val="20"/>
                      <w:lang w:eastAsia="zh-CN"/>
                    </w:rPr>
                    <w:t>Up to US$35</w:t>
                  </w:r>
                </w:p>
              </w:tc>
            </w:tr>
            <w:tr w:rsidR="000B7961" w:rsidRPr="000B7961" w14:paraId="77E9F1D0" w14:textId="77777777" w:rsidTr="004B4FCE">
              <w:trPr>
                <w:jc w:val="center"/>
              </w:trPr>
              <w:tc>
                <w:tcPr>
                  <w:tcW w:w="1765" w:type="dxa"/>
                  <w:tcBorders>
                    <w:top w:val="single" w:sz="4" w:space="0" w:color="auto"/>
                    <w:left w:val="single" w:sz="4" w:space="0" w:color="auto"/>
                    <w:bottom w:val="single" w:sz="4" w:space="0" w:color="auto"/>
                    <w:right w:val="single" w:sz="4" w:space="0" w:color="auto"/>
                  </w:tcBorders>
                  <w:hideMark/>
                </w:tcPr>
                <w:p w14:paraId="55EA1B44" w14:textId="77777777" w:rsidR="000B7961" w:rsidRPr="000B7961" w:rsidRDefault="000B7961" w:rsidP="004B4FCE">
                  <w:pPr>
                    <w:pStyle w:val="ListParagraph"/>
                    <w:ind w:left="360"/>
                    <w:rPr>
                      <w:rFonts w:ascii="Cambria" w:hAnsi="Cambria" w:cs="Arial"/>
                      <w:sz w:val="20"/>
                      <w:szCs w:val="20"/>
                      <w:lang w:eastAsia="zh-CN"/>
                    </w:rPr>
                  </w:pPr>
                  <w:r w:rsidRPr="000B7961">
                    <w:rPr>
                      <w:rFonts w:ascii="Cambria" w:hAnsi="Cambria" w:cs="Arial"/>
                      <w:sz w:val="20"/>
                      <w:szCs w:val="20"/>
                      <w:lang w:eastAsia="zh-CN"/>
                    </w:rPr>
                    <w:t>Two Meals</w:t>
                  </w:r>
                </w:p>
              </w:tc>
              <w:tc>
                <w:tcPr>
                  <w:tcW w:w="2663" w:type="dxa"/>
                  <w:tcBorders>
                    <w:top w:val="single" w:sz="4" w:space="0" w:color="auto"/>
                    <w:left w:val="single" w:sz="4" w:space="0" w:color="auto"/>
                    <w:bottom w:val="single" w:sz="4" w:space="0" w:color="auto"/>
                    <w:right w:val="single" w:sz="4" w:space="0" w:color="auto"/>
                  </w:tcBorders>
                  <w:hideMark/>
                </w:tcPr>
                <w:p w14:paraId="1124E8C1" w14:textId="77777777" w:rsidR="000B7961" w:rsidRPr="000B7961" w:rsidRDefault="000B7961" w:rsidP="004B4FCE">
                  <w:pPr>
                    <w:pStyle w:val="ListParagraph"/>
                    <w:ind w:left="360"/>
                    <w:jc w:val="center"/>
                    <w:rPr>
                      <w:rFonts w:ascii="Cambria" w:hAnsi="Cambria" w:cs="Arial"/>
                      <w:sz w:val="20"/>
                      <w:szCs w:val="20"/>
                      <w:lang w:eastAsia="zh-CN"/>
                    </w:rPr>
                  </w:pPr>
                  <w:r w:rsidRPr="000B7961">
                    <w:rPr>
                      <w:rFonts w:ascii="Cambria" w:hAnsi="Cambria" w:cs="Arial"/>
                      <w:sz w:val="20"/>
                      <w:szCs w:val="20"/>
                      <w:lang w:eastAsia="zh-CN"/>
                    </w:rPr>
                    <w:t>Up to CAN$45</w:t>
                  </w:r>
                </w:p>
              </w:tc>
              <w:tc>
                <w:tcPr>
                  <w:tcW w:w="1980" w:type="dxa"/>
                  <w:tcBorders>
                    <w:top w:val="single" w:sz="4" w:space="0" w:color="auto"/>
                    <w:left w:val="single" w:sz="4" w:space="0" w:color="auto"/>
                    <w:bottom w:val="single" w:sz="4" w:space="0" w:color="auto"/>
                    <w:right w:val="single" w:sz="4" w:space="0" w:color="auto"/>
                  </w:tcBorders>
                  <w:hideMark/>
                </w:tcPr>
                <w:p w14:paraId="500200EA" w14:textId="77777777" w:rsidR="000B7961" w:rsidRPr="000B7961" w:rsidRDefault="000B7961" w:rsidP="004B4FCE">
                  <w:pPr>
                    <w:pStyle w:val="ListParagraph"/>
                    <w:ind w:left="360"/>
                    <w:rPr>
                      <w:rFonts w:ascii="Cambria" w:hAnsi="Cambria" w:cs="Arial"/>
                      <w:sz w:val="20"/>
                      <w:szCs w:val="20"/>
                      <w:lang w:eastAsia="zh-CN"/>
                    </w:rPr>
                  </w:pPr>
                  <w:r w:rsidRPr="000B7961">
                    <w:rPr>
                      <w:rFonts w:ascii="Cambria" w:hAnsi="Cambria" w:cs="Arial"/>
                      <w:sz w:val="20"/>
                      <w:szCs w:val="20"/>
                      <w:lang w:eastAsia="zh-CN"/>
                    </w:rPr>
                    <w:t>Up to US$50</w:t>
                  </w:r>
                </w:p>
              </w:tc>
            </w:tr>
            <w:tr w:rsidR="000B7961" w:rsidRPr="000B7961" w14:paraId="1A1F0011" w14:textId="77777777" w:rsidTr="004B4FCE">
              <w:trPr>
                <w:jc w:val="center"/>
              </w:trPr>
              <w:tc>
                <w:tcPr>
                  <w:tcW w:w="1765" w:type="dxa"/>
                  <w:tcBorders>
                    <w:top w:val="single" w:sz="4" w:space="0" w:color="auto"/>
                    <w:left w:val="single" w:sz="4" w:space="0" w:color="auto"/>
                    <w:bottom w:val="single" w:sz="4" w:space="0" w:color="auto"/>
                    <w:right w:val="single" w:sz="4" w:space="0" w:color="auto"/>
                  </w:tcBorders>
                  <w:hideMark/>
                </w:tcPr>
                <w:p w14:paraId="64EEAC7A" w14:textId="77777777" w:rsidR="000B7961" w:rsidRPr="000B7961" w:rsidRDefault="000B7961" w:rsidP="004B4FCE">
                  <w:pPr>
                    <w:pStyle w:val="ListParagraph"/>
                    <w:ind w:left="360"/>
                    <w:rPr>
                      <w:rFonts w:ascii="Cambria" w:hAnsi="Cambria" w:cs="Arial"/>
                      <w:sz w:val="20"/>
                      <w:szCs w:val="20"/>
                      <w:lang w:eastAsia="zh-CN"/>
                    </w:rPr>
                  </w:pPr>
                  <w:r w:rsidRPr="000B7961">
                    <w:rPr>
                      <w:rFonts w:ascii="Cambria" w:hAnsi="Cambria" w:cs="Arial"/>
                      <w:sz w:val="20"/>
                      <w:szCs w:val="20"/>
                      <w:lang w:eastAsia="zh-CN"/>
                    </w:rPr>
                    <w:t>Three Meals</w:t>
                  </w:r>
                </w:p>
              </w:tc>
              <w:tc>
                <w:tcPr>
                  <w:tcW w:w="2663" w:type="dxa"/>
                  <w:tcBorders>
                    <w:top w:val="single" w:sz="4" w:space="0" w:color="auto"/>
                    <w:left w:val="single" w:sz="4" w:space="0" w:color="auto"/>
                    <w:bottom w:val="single" w:sz="4" w:space="0" w:color="auto"/>
                    <w:right w:val="single" w:sz="4" w:space="0" w:color="auto"/>
                  </w:tcBorders>
                  <w:hideMark/>
                </w:tcPr>
                <w:p w14:paraId="335B9E29" w14:textId="77777777" w:rsidR="000B7961" w:rsidRPr="000B7961" w:rsidRDefault="000B7961" w:rsidP="004B4FCE">
                  <w:pPr>
                    <w:pStyle w:val="ListParagraph"/>
                    <w:ind w:left="360"/>
                    <w:jc w:val="center"/>
                    <w:rPr>
                      <w:rFonts w:ascii="Cambria" w:hAnsi="Cambria" w:cs="Arial"/>
                      <w:sz w:val="20"/>
                      <w:szCs w:val="20"/>
                      <w:lang w:eastAsia="zh-CN"/>
                    </w:rPr>
                  </w:pPr>
                  <w:r w:rsidRPr="000B7961">
                    <w:rPr>
                      <w:rFonts w:ascii="Cambria" w:hAnsi="Cambria" w:cs="Arial"/>
                      <w:sz w:val="20"/>
                      <w:szCs w:val="20"/>
                      <w:lang w:eastAsia="zh-CN"/>
                    </w:rPr>
                    <w:t>Up to CAN$55</w:t>
                  </w:r>
                </w:p>
              </w:tc>
              <w:tc>
                <w:tcPr>
                  <w:tcW w:w="1980" w:type="dxa"/>
                  <w:tcBorders>
                    <w:top w:val="single" w:sz="4" w:space="0" w:color="auto"/>
                    <w:left w:val="single" w:sz="4" w:space="0" w:color="auto"/>
                    <w:bottom w:val="single" w:sz="4" w:space="0" w:color="auto"/>
                    <w:right w:val="single" w:sz="4" w:space="0" w:color="auto"/>
                  </w:tcBorders>
                  <w:hideMark/>
                </w:tcPr>
                <w:p w14:paraId="5CCF5C91" w14:textId="77777777" w:rsidR="000B7961" w:rsidRPr="000B7961" w:rsidRDefault="000B7961" w:rsidP="004B4FCE">
                  <w:pPr>
                    <w:pStyle w:val="ListParagraph"/>
                    <w:ind w:left="360"/>
                    <w:rPr>
                      <w:rFonts w:ascii="Cambria" w:hAnsi="Cambria" w:cs="Arial"/>
                      <w:sz w:val="20"/>
                      <w:szCs w:val="20"/>
                      <w:lang w:eastAsia="zh-CN"/>
                    </w:rPr>
                  </w:pPr>
                  <w:r w:rsidRPr="000B7961">
                    <w:rPr>
                      <w:rFonts w:ascii="Cambria" w:hAnsi="Cambria" w:cs="Arial"/>
                      <w:sz w:val="20"/>
                      <w:szCs w:val="20"/>
                      <w:lang w:eastAsia="zh-CN"/>
                    </w:rPr>
                    <w:t>Up to US$65</w:t>
                  </w:r>
                </w:p>
              </w:tc>
            </w:tr>
          </w:tbl>
          <w:p w14:paraId="32525A67" w14:textId="77777777" w:rsidR="000B7961" w:rsidRPr="000B7961" w:rsidRDefault="000B7961" w:rsidP="004B4FCE">
            <w:pPr>
              <w:rPr>
                <w:rFonts w:ascii="Cambria" w:hAnsi="Cambria"/>
                <w:i/>
                <w:sz w:val="20"/>
                <w:szCs w:val="20"/>
              </w:rPr>
            </w:pPr>
          </w:p>
          <w:p w14:paraId="1C62ED2C" w14:textId="77777777" w:rsidR="000B7961" w:rsidRPr="000B7961" w:rsidRDefault="000B7961" w:rsidP="004B4FCE">
            <w:pPr>
              <w:rPr>
                <w:rFonts w:ascii="Cambria" w:hAnsi="Cambria" w:cs="Arial"/>
                <w:sz w:val="20"/>
                <w:szCs w:val="20"/>
              </w:rPr>
            </w:pPr>
            <w:r w:rsidRPr="000B7961">
              <w:rPr>
                <w:rFonts w:ascii="Cambria" w:hAnsi="Cambria"/>
                <w:sz w:val="20"/>
                <w:szCs w:val="20"/>
              </w:rPr>
              <w:t>Note: The maximum which may be claimed for a single meal is CAN$30 within Canada and US$35 within the United States.</w:t>
            </w:r>
            <w:r w:rsidRPr="000B7961">
              <w:rPr>
                <w:rFonts w:ascii="Cambria" w:hAnsi="Cambria" w:cs="Arial"/>
                <w:sz w:val="20"/>
                <w:szCs w:val="20"/>
              </w:rPr>
              <w:t xml:space="preserve"> </w:t>
            </w:r>
          </w:p>
        </w:tc>
      </w:tr>
      <w:tr w:rsidR="000B7961" w:rsidRPr="000B7961" w14:paraId="7BC2CDC4" w14:textId="77777777" w:rsidTr="004B4FCE">
        <w:tc>
          <w:tcPr>
            <w:tcW w:w="9669" w:type="dxa"/>
            <w:gridSpan w:val="3"/>
            <w:shd w:val="clear" w:color="auto" w:fill="F2F2F2" w:themeFill="background1" w:themeFillShade="F2"/>
          </w:tcPr>
          <w:p w14:paraId="7793CA3F" w14:textId="77777777" w:rsidR="000B7961" w:rsidRPr="000B7961" w:rsidRDefault="000B7961" w:rsidP="004B4FCE">
            <w:pPr>
              <w:jc w:val="center"/>
              <w:rPr>
                <w:rFonts w:ascii="Cambria" w:hAnsi="Cambria"/>
                <w:b/>
                <w:i/>
                <w:sz w:val="20"/>
                <w:szCs w:val="20"/>
              </w:rPr>
            </w:pPr>
            <w:r w:rsidRPr="000B7961">
              <w:rPr>
                <w:rFonts w:ascii="Cambria" w:hAnsi="Cambria"/>
                <w:b/>
                <w:sz w:val="20"/>
                <w:szCs w:val="20"/>
              </w:rPr>
              <w:t>Event Speaker Travel</w:t>
            </w:r>
          </w:p>
        </w:tc>
      </w:tr>
      <w:tr w:rsidR="000B7961" w:rsidRPr="000B7961" w14:paraId="3B5E740A" w14:textId="77777777" w:rsidTr="004B4FCE">
        <w:tc>
          <w:tcPr>
            <w:tcW w:w="1698" w:type="dxa"/>
          </w:tcPr>
          <w:p w14:paraId="7B5CD435" w14:textId="77777777" w:rsidR="000B7961" w:rsidRPr="000B7961" w:rsidRDefault="000B7961" w:rsidP="004B4FCE">
            <w:pPr>
              <w:rPr>
                <w:rFonts w:ascii="Cambria" w:hAnsi="Cambria"/>
                <w:sz w:val="20"/>
                <w:szCs w:val="20"/>
              </w:rPr>
            </w:pPr>
            <w:r w:rsidRPr="000B7961">
              <w:rPr>
                <w:rFonts w:ascii="Cambria" w:hAnsi="Cambria"/>
                <w:sz w:val="20"/>
                <w:szCs w:val="20"/>
              </w:rPr>
              <w:t>Air Travel</w:t>
            </w:r>
          </w:p>
        </w:tc>
        <w:tc>
          <w:tcPr>
            <w:tcW w:w="273" w:type="dxa"/>
          </w:tcPr>
          <w:p w14:paraId="3345E6C5" w14:textId="77777777" w:rsidR="000B7961" w:rsidRPr="000B7961" w:rsidRDefault="000B7961" w:rsidP="004B4FCE">
            <w:pPr>
              <w:rPr>
                <w:rFonts w:ascii="Cambria" w:hAnsi="Cambria"/>
                <w:sz w:val="20"/>
                <w:szCs w:val="20"/>
              </w:rPr>
            </w:pPr>
          </w:p>
        </w:tc>
        <w:tc>
          <w:tcPr>
            <w:tcW w:w="7698" w:type="dxa"/>
          </w:tcPr>
          <w:p w14:paraId="1BB2F49A" w14:textId="77777777" w:rsidR="000B7961" w:rsidRPr="000B7961" w:rsidRDefault="000B7961" w:rsidP="004B4FCE">
            <w:pPr>
              <w:rPr>
                <w:rFonts w:ascii="Cambria" w:hAnsi="Cambria"/>
                <w:sz w:val="20"/>
                <w:szCs w:val="20"/>
              </w:rPr>
            </w:pPr>
            <w:r w:rsidRPr="000B7961">
              <w:rPr>
                <w:rFonts w:ascii="Cambria" w:hAnsi="Cambria" w:cs="Arial"/>
                <w:sz w:val="20"/>
                <w:szCs w:val="20"/>
              </w:rPr>
              <w:t>Economy class.</w:t>
            </w:r>
            <w:r w:rsidRPr="000B7961">
              <w:rPr>
                <w:rFonts w:ascii="Cambria" w:hAnsi="Cambria"/>
                <w:i/>
                <w:sz w:val="20"/>
                <w:szCs w:val="20"/>
              </w:rPr>
              <w:t xml:space="preserve">  </w:t>
            </w:r>
          </w:p>
        </w:tc>
      </w:tr>
      <w:tr w:rsidR="000B7961" w:rsidRPr="000B7961" w14:paraId="53633561" w14:textId="77777777" w:rsidTr="004B4FCE">
        <w:tc>
          <w:tcPr>
            <w:tcW w:w="1698" w:type="dxa"/>
          </w:tcPr>
          <w:p w14:paraId="31967109" w14:textId="77777777" w:rsidR="000B7961" w:rsidRPr="000B7961" w:rsidRDefault="000B7961" w:rsidP="004B4FCE">
            <w:pPr>
              <w:rPr>
                <w:rFonts w:ascii="Cambria" w:hAnsi="Cambria"/>
                <w:sz w:val="20"/>
                <w:szCs w:val="20"/>
              </w:rPr>
            </w:pPr>
            <w:r w:rsidRPr="000B7961">
              <w:rPr>
                <w:rFonts w:ascii="Cambria" w:hAnsi="Cambria"/>
                <w:sz w:val="20"/>
                <w:szCs w:val="20"/>
              </w:rPr>
              <w:t>Rail Travel</w:t>
            </w:r>
          </w:p>
        </w:tc>
        <w:tc>
          <w:tcPr>
            <w:tcW w:w="273" w:type="dxa"/>
          </w:tcPr>
          <w:p w14:paraId="737B3218" w14:textId="77777777" w:rsidR="000B7961" w:rsidRPr="000B7961" w:rsidRDefault="000B7961" w:rsidP="004B4FCE">
            <w:pPr>
              <w:rPr>
                <w:rFonts w:ascii="Cambria" w:hAnsi="Cambria"/>
                <w:sz w:val="20"/>
                <w:szCs w:val="20"/>
              </w:rPr>
            </w:pPr>
          </w:p>
        </w:tc>
        <w:tc>
          <w:tcPr>
            <w:tcW w:w="7698" w:type="dxa"/>
          </w:tcPr>
          <w:p w14:paraId="583DBC07" w14:textId="77777777" w:rsidR="000B7961" w:rsidRPr="000B7961" w:rsidRDefault="000B7961" w:rsidP="004B4FCE">
            <w:pPr>
              <w:rPr>
                <w:rFonts w:ascii="Cambria" w:hAnsi="Cambria"/>
                <w:sz w:val="20"/>
                <w:szCs w:val="20"/>
              </w:rPr>
            </w:pPr>
            <w:r w:rsidRPr="000B7961">
              <w:rPr>
                <w:rFonts w:ascii="Cambria" w:hAnsi="Cambria"/>
                <w:sz w:val="20"/>
                <w:szCs w:val="20"/>
              </w:rPr>
              <w:t xml:space="preserve">Economy or coach class. VIA 1 may be chosen if travelling during a </w:t>
            </w:r>
            <w:proofErr w:type="gramStart"/>
            <w:r w:rsidRPr="000B7961">
              <w:rPr>
                <w:rFonts w:ascii="Cambria" w:hAnsi="Cambria"/>
                <w:sz w:val="20"/>
                <w:szCs w:val="20"/>
              </w:rPr>
              <w:t>meal time</w:t>
            </w:r>
            <w:proofErr w:type="gramEnd"/>
            <w:r w:rsidRPr="000B7961">
              <w:rPr>
                <w:rFonts w:ascii="Cambria" w:hAnsi="Cambria"/>
                <w:sz w:val="20"/>
                <w:szCs w:val="20"/>
              </w:rPr>
              <w:t xml:space="preserve">. </w:t>
            </w:r>
          </w:p>
        </w:tc>
      </w:tr>
      <w:tr w:rsidR="000B7961" w:rsidRPr="000B7961" w14:paraId="53F78577" w14:textId="77777777" w:rsidTr="004B4FCE">
        <w:tc>
          <w:tcPr>
            <w:tcW w:w="1698" w:type="dxa"/>
          </w:tcPr>
          <w:p w14:paraId="2003A61A" w14:textId="77777777" w:rsidR="000B7961" w:rsidRPr="000B7961" w:rsidRDefault="000B7961" w:rsidP="004B4FCE">
            <w:pPr>
              <w:rPr>
                <w:rFonts w:ascii="Cambria" w:hAnsi="Cambria"/>
                <w:sz w:val="20"/>
                <w:szCs w:val="20"/>
              </w:rPr>
            </w:pPr>
            <w:r w:rsidRPr="000B7961">
              <w:rPr>
                <w:rFonts w:ascii="Cambria" w:hAnsi="Cambria"/>
                <w:sz w:val="20"/>
                <w:szCs w:val="20"/>
              </w:rPr>
              <w:t>Car Rental</w:t>
            </w:r>
          </w:p>
        </w:tc>
        <w:tc>
          <w:tcPr>
            <w:tcW w:w="273" w:type="dxa"/>
          </w:tcPr>
          <w:p w14:paraId="47080172" w14:textId="77777777" w:rsidR="000B7961" w:rsidRPr="000B7961" w:rsidRDefault="000B7961" w:rsidP="004B4FCE">
            <w:pPr>
              <w:rPr>
                <w:rFonts w:ascii="Cambria" w:hAnsi="Cambria"/>
                <w:sz w:val="20"/>
                <w:szCs w:val="20"/>
              </w:rPr>
            </w:pPr>
          </w:p>
        </w:tc>
        <w:tc>
          <w:tcPr>
            <w:tcW w:w="7698" w:type="dxa"/>
          </w:tcPr>
          <w:p w14:paraId="192C4FA1" w14:textId="77777777" w:rsidR="000B7961" w:rsidRPr="000B7961" w:rsidRDefault="000B7961" w:rsidP="004B4FCE">
            <w:pPr>
              <w:rPr>
                <w:rFonts w:ascii="Cambria" w:hAnsi="Cambria"/>
                <w:sz w:val="20"/>
                <w:szCs w:val="20"/>
              </w:rPr>
            </w:pPr>
            <w:r w:rsidRPr="000B7961">
              <w:rPr>
                <w:rFonts w:ascii="Cambria" w:hAnsi="Cambria"/>
                <w:sz w:val="20"/>
                <w:szCs w:val="20"/>
              </w:rPr>
              <w:t xml:space="preserve">Mid-size vehicle unless special circumstances warrant otherwise. </w:t>
            </w:r>
          </w:p>
        </w:tc>
      </w:tr>
      <w:tr w:rsidR="000B7961" w:rsidRPr="000B7961" w14:paraId="42860BF8" w14:textId="77777777" w:rsidTr="004B4FCE">
        <w:tc>
          <w:tcPr>
            <w:tcW w:w="1698" w:type="dxa"/>
          </w:tcPr>
          <w:p w14:paraId="59C805FD" w14:textId="77777777" w:rsidR="000B7961" w:rsidRPr="000B7961" w:rsidRDefault="000B7961" w:rsidP="004B4FCE">
            <w:pPr>
              <w:rPr>
                <w:rFonts w:ascii="Cambria" w:hAnsi="Cambria"/>
                <w:sz w:val="20"/>
                <w:szCs w:val="20"/>
              </w:rPr>
            </w:pPr>
            <w:r w:rsidRPr="000B7961">
              <w:rPr>
                <w:rFonts w:ascii="Cambria" w:hAnsi="Cambria"/>
                <w:sz w:val="20"/>
                <w:szCs w:val="20"/>
              </w:rPr>
              <w:t>Personal Vehicle Use</w:t>
            </w:r>
          </w:p>
        </w:tc>
        <w:tc>
          <w:tcPr>
            <w:tcW w:w="273" w:type="dxa"/>
          </w:tcPr>
          <w:p w14:paraId="699A99FE" w14:textId="77777777" w:rsidR="000B7961" w:rsidRPr="000B7961" w:rsidRDefault="000B7961" w:rsidP="004B4FCE">
            <w:pPr>
              <w:rPr>
                <w:rFonts w:ascii="Cambria" w:hAnsi="Cambria"/>
                <w:sz w:val="20"/>
                <w:szCs w:val="20"/>
              </w:rPr>
            </w:pPr>
          </w:p>
        </w:tc>
        <w:tc>
          <w:tcPr>
            <w:tcW w:w="7698" w:type="dxa"/>
          </w:tcPr>
          <w:p w14:paraId="6B12925E" w14:textId="77777777" w:rsidR="000B7961" w:rsidRPr="000B7961" w:rsidRDefault="000B7961" w:rsidP="004B4FCE">
            <w:pPr>
              <w:rPr>
                <w:rFonts w:ascii="Cambria" w:hAnsi="Cambria"/>
                <w:i/>
                <w:sz w:val="20"/>
                <w:szCs w:val="20"/>
              </w:rPr>
            </w:pPr>
            <w:r w:rsidRPr="000B7961">
              <w:rPr>
                <w:rFonts w:ascii="Cambria" w:hAnsi="Cambria"/>
                <w:sz w:val="20"/>
                <w:szCs w:val="20"/>
              </w:rPr>
              <w:t>Reimbursement is based on distance driven; reimbursement rate is $0.40 per km. For distances over 200 km, rent a vehicle unless time involved makes personal vehicle use more economical.</w:t>
            </w:r>
          </w:p>
        </w:tc>
      </w:tr>
      <w:tr w:rsidR="000B7961" w:rsidRPr="000B7961" w14:paraId="07806A04" w14:textId="77777777" w:rsidTr="004B4FCE">
        <w:tc>
          <w:tcPr>
            <w:tcW w:w="1698" w:type="dxa"/>
          </w:tcPr>
          <w:p w14:paraId="2B86119F" w14:textId="77777777" w:rsidR="000B7961" w:rsidRPr="000B7961" w:rsidRDefault="000B7961" w:rsidP="004B4FCE">
            <w:pPr>
              <w:rPr>
                <w:rFonts w:ascii="Cambria" w:hAnsi="Cambria"/>
                <w:sz w:val="20"/>
                <w:szCs w:val="20"/>
              </w:rPr>
            </w:pPr>
            <w:r w:rsidRPr="000B7961">
              <w:rPr>
                <w:rFonts w:ascii="Cambria" w:hAnsi="Cambria"/>
                <w:sz w:val="20"/>
                <w:szCs w:val="20"/>
              </w:rPr>
              <w:t xml:space="preserve">Other </w:t>
            </w:r>
          </w:p>
        </w:tc>
        <w:tc>
          <w:tcPr>
            <w:tcW w:w="273" w:type="dxa"/>
          </w:tcPr>
          <w:p w14:paraId="515EC326" w14:textId="77777777" w:rsidR="000B7961" w:rsidRPr="000B7961" w:rsidRDefault="000B7961" w:rsidP="004B4FCE">
            <w:pPr>
              <w:rPr>
                <w:rFonts w:ascii="Cambria" w:hAnsi="Cambria"/>
                <w:sz w:val="20"/>
                <w:szCs w:val="20"/>
              </w:rPr>
            </w:pPr>
          </w:p>
        </w:tc>
        <w:tc>
          <w:tcPr>
            <w:tcW w:w="7698" w:type="dxa"/>
          </w:tcPr>
          <w:p w14:paraId="3B716019" w14:textId="77777777" w:rsidR="000B7961" w:rsidRPr="000B7961" w:rsidRDefault="000B7961" w:rsidP="004B4FCE">
            <w:pPr>
              <w:widowControl w:val="0"/>
              <w:autoSpaceDE w:val="0"/>
              <w:autoSpaceDN w:val="0"/>
              <w:adjustRightInd w:val="0"/>
              <w:snapToGrid w:val="0"/>
              <w:outlineLvl w:val="2"/>
              <w:rPr>
                <w:rFonts w:ascii="Cambria" w:hAnsi="Cambria"/>
                <w:sz w:val="20"/>
                <w:szCs w:val="20"/>
              </w:rPr>
            </w:pPr>
            <w:r w:rsidRPr="000B7961">
              <w:rPr>
                <w:rFonts w:ascii="Cambria" w:hAnsi="Cambria"/>
                <w:sz w:val="20"/>
                <w:szCs w:val="20"/>
              </w:rPr>
              <w:t xml:space="preserve">Parking, bridge or highway tolls, taxi or airport limousine fees, and public transportation. Reasonable </w:t>
            </w:r>
            <w:r w:rsidRPr="000B7961">
              <w:rPr>
                <w:rFonts w:ascii="Cambria" w:hAnsi="Cambria" w:cs="Arial"/>
                <w:sz w:val="20"/>
                <w:szCs w:val="20"/>
              </w:rPr>
              <w:t xml:space="preserve">gratuities for meals, bellman service and hotel room service will be reimbursed </w:t>
            </w:r>
            <w:proofErr w:type="gramStart"/>
            <w:r w:rsidRPr="000B7961">
              <w:rPr>
                <w:rFonts w:ascii="Cambria" w:hAnsi="Cambria" w:cs="Arial"/>
                <w:sz w:val="20"/>
                <w:szCs w:val="20"/>
              </w:rPr>
              <w:t>e.g.</w:t>
            </w:r>
            <w:proofErr w:type="gramEnd"/>
            <w:r w:rsidRPr="000B7961">
              <w:rPr>
                <w:rFonts w:ascii="Cambria" w:hAnsi="Cambria" w:cs="Arial"/>
                <w:sz w:val="20"/>
                <w:szCs w:val="20"/>
              </w:rPr>
              <w:t xml:space="preserve"> 15% on restaurant meals and taxi fares.</w:t>
            </w:r>
          </w:p>
        </w:tc>
      </w:tr>
      <w:tr w:rsidR="000B7961" w:rsidRPr="000B7961" w14:paraId="2E5169EE" w14:textId="77777777" w:rsidTr="004B4FCE">
        <w:tc>
          <w:tcPr>
            <w:tcW w:w="9669" w:type="dxa"/>
            <w:gridSpan w:val="3"/>
            <w:shd w:val="clear" w:color="auto" w:fill="F2F2F2" w:themeFill="background1" w:themeFillShade="F2"/>
          </w:tcPr>
          <w:p w14:paraId="646FC124" w14:textId="77777777" w:rsidR="000B7961" w:rsidRPr="000B7961" w:rsidRDefault="000B7961" w:rsidP="004B4FCE">
            <w:pPr>
              <w:jc w:val="center"/>
              <w:rPr>
                <w:rFonts w:ascii="Cambria" w:hAnsi="Cambria"/>
                <w:b/>
                <w:sz w:val="20"/>
                <w:szCs w:val="20"/>
              </w:rPr>
            </w:pPr>
            <w:r w:rsidRPr="000B7961">
              <w:rPr>
                <w:rFonts w:ascii="Cambria" w:hAnsi="Cambria"/>
                <w:b/>
                <w:sz w:val="20"/>
                <w:szCs w:val="20"/>
              </w:rPr>
              <w:t>Accommodations</w:t>
            </w:r>
          </w:p>
        </w:tc>
      </w:tr>
      <w:tr w:rsidR="000B7961" w:rsidRPr="000B7961" w14:paraId="7D5690F0" w14:textId="77777777" w:rsidTr="004B4FCE">
        <w:tc>
          <w:tcPr>
            <w:tcW w:w="9669" w:type="dxa"/>
            <w:gridSpan w:val="3"/>
          </w:tcPr>
          <w:p w14:paraId="04599FDD" w14:textId="77777777" w:rsidR="000B7961" w:rsidRPr="000B7961" w:rsidRDefault="000B7961" w:rsidP="004B4FCE">
            <w:pPr>
              <w:rPr>
                <w:rFonts w:ascii="Cambria" w:hAnsi="Cambria"/>
                <w:sz w:val="20"/>
                <w:szCs w:val="20"/>
              </w:rPr>
            </w:pPr>
            <w:r w:rsidRPr="000B7961">
              <w:rPr>
                <w:rFonts w:ascii="Cambria" w:hAnsi="Cambria"/>
                <w:sz w:val="20"/>
                <w:szCs w:val="20"/>
              </w:rPr>
              <w:t>Lodging arrangements should be single accommodation in a standard room in a moderately priced hotel and duration should only be the length of the meeting, + 1 day before or after if necessary for travel connections.</w:t>
            </w:r>
            <w:r w:rsidRPr="000B7961">
              <w:rPr>
                <w:rFonts w:ascii="Cambria" w:hAnsi="Cambria"/>
              </w:rPr>
              <w:t xml:space="preserve"> </w:t>
            </w:r>
            <w:r w:rsidRPr="000B7961">
              <w:rPr>
                <w:rFonts w:ascii="Cambria" w:hAnsi="Cambria"/>
                <w:sz w:val="20"/>
                <w:szCs w:val="20"/>
              </w:rPr>
              <w:t>OBI will not reimburse the cost of overnight accommodation within 24 km of the claimant’s home.</w:t>
            </w:r>
          </w:p>
        </w:tc>
      </w:tr>
      <w:tr w:rsidR="000B7961" w:rsidRPr="000B7961" w14:paraId="7F1938A0" w14:textId="77777777" w:rsidTr="004B4FCE">
        <w:tc>
          <w:tcPr>
            <w:tcW w:w="9669" w:type="dxa"/>
            <w:gridSpan w:val="3"/>
            <w:shd w:val="clear" w:color="auto" w:fill="F2F2F2" w:themeFill="background1" w:themeFillShade="F2"/>
          </w:tcPr>
          <w:p w14:paraId="7D03351B" w14:textId="77777777" w:rsidR="000B7961" w:rsidRPr="000B7961" w:rsidRDefault="000B7961" w:rsidP="004B4FCE">
            <w:pPr>
              <w:jc w:val="center"/>
              <w:rPr>
                <w:rFonts w:ascii="Cambria" w:hAnsi="Cambria"/>
                <w:b/>
                <w:sz w:val="20"/>
                <w:szCs w:val="20"/>
              </w:rPr>
            </w:pPr>
            <w:r w:rsidRPr="000B7961">
              <w:rPr>
                <w:rFonts w:ascii="Cambria" w:hAnsi="Cambria"/>
                <w:b/>
                <w:sz w:val="20"/>
                <w:szCs w:val="20"/>
              </w:rPr>
              <w:t>Event Catering</w:t>
            </w:r>
          </w:p>
        </w:tc>
      </w:tr>
      <w:tr w:rsidR="000B7961" w:rsidRPr="000B7961" w14:paraId="27FC98EB" w14:textId="77777777" w:rsidTr="004B4FCE">
        <w:tc>
          <w:tcPr>
            <w:tcW w:w="9669" w:type="dxa"/>
            <w:gridSpan w:val="3"/>
          </w:tcPr>
          <w:p w14:paraId="059E6104" w14:textId="77777777" w:rsidR="000B7961" w:rsidRPr="000B7961" w:rsidRDefault="000B7961" w:rsidP="004B4FCE">
            <w:pPr>
              <w:rPr>
                <w:rFonts w:ascii="Cambria" w:hAnsi="Cambria"/>
                <w:sz w:val="20"/>
                <w:szCs w:val="20"/>
              </w:rPr>
            </w:pPr>
            <w:r w:rsidRPr="000B7961">
              <w:rPr>
                <w:rFonts w:ascii="Cambria" w:hAnsi="Cambria"/>
                <w:sz w:val="20"/>
                <w:szCs w:val="20"/>
              </w:rPr>
              <w:t xml:space="preserve">Discretion should be used when deciding whether the serving of food is essential and appropriate based on the time of day of the event. Indicate what is included in the package or the price/meal/person.  Maximum price for a day package (including breakfast, </w:t>
            </w:r>
            <w:proofErr w:type="gramStart"/>
            <w:r w:rsidRPr="000B7961">
              <w:rPr>
                <w:rFonts w:ascii="Cambria" w:hAnsi="Cambria"/>
                <w:sz w:val="20"/>
                <w:szCs w:val="20"/>
              </w:rPr>
              <w:t>lunch</w:t>
            </w:r>
            <w:proofErr w:type="gramEnd"/>
            <w:r w:rsidRPr="000B7961">
              <w:rPr>
                <w:rFonts w:ascii="Cambria" w:hAnsi="Cambria"/>
                <w:sz w:val="20"/>
                <w:szCs w:val="20"/>
              </w:rPr>
              <w:t xml:space="preserve"> and dinner) is $70 CA or 1.25 x the individual meal allowance (see above). </w:t>
            </w:r>
            <w:r w:rsidRPr="000B7961">
              <w:rPr>
                <w:rFonts w:ascii="Cambria" w:hAnsi="Cambria"/>
                <w:b/>
                <w:sz w:val="20"/>
                <w:szCs w:val="20"/>
              </w:rPr>
              <w:t>Alcoholic beverages must not be included in the costs.</w:t>
            </w:r>
          </w:p>
        </w:tc>
      </w:tr>
      <w:tr w:rsidR="000B7961" w:rsidRPr="000B7961" w14:paraId="628648DF" w14:textId="77777777" w:rsidTr="004B4FCE">
        <w:tc>
          <w:tcPr>
            <w:tcW w:w="9669" w:type="dxa"/>
            <w:gridSpan w:val="3"/>
            <w:shd w:val="clear" w:color="auto" w:fill="F2F2F2" w:themeFill="background1" w:themeFillShade="F2"/>
          </w:tcPr>
          <w:p w14:paraId="20832745" w14:textId="77777777" w:rsidR="000B7961" w:rsidRPr="000B7961" w:rsidRDefault="000B7961" w:rsidP="004B4FCE">
            <w:pPr>
              <w:jc w:val="center"/>
              <w:rPr>
                <w:rFonts w:ascii="Cambria" w:hAnsi="Cambria"/>
                <w:b/>
                <w:sz w:val="20"/>
                <w:szCs w:val="20"/>
              </w:rPr>
            </w:pPr>
            <w:r w:rsidRPr="000B7961">
              <w:rPr>
                <w:rFonts w:ascii="Cambria" w:hAnsi="Cambria"/>
                <w:b/>
                <w:sz w:val="20"/>
                <w:szCs w:val="20"/>
              </w:rPr>
              <w:t>Ineligible Expenses</w:t>
            </w:r>
          </w:p>
        </w:tc>
      </w:tr>
      <w:tr w:rsidR="000B7961" w:rsidRPr="000B7961" w14:paraId="3C69FF61" w14:textId="77777777" w:rsidTr="004B4FCE">
        <w:tc>
          <w:tcPr>
            <w:tcW w:w="1698" w:type="dxa"/>
            <w:shd w:val="clear" w:color="auto" w:fill="auto"/>
          </w:tcPr>
          <w:p w14:paraId="54A685CD" w14:textId="77777777" w:rsidR="000B7961" w:rsidRPr="000B7961" w:rsidRDefault="000B7961" w:rsidP="004B4FCE">
            <w:pPr>
              <w:rPr>
                <w:rFonts w:ascii="Cambria" w:hAnsi="Cambria"/>
                <w:sz w:val="20"/>
                <w:szCs w:val="20"/>
              </w:rPr>
            </w:pPr>
            <w:r w:rsidRPr="000B7961">
              <w:rPr>
                <w:rFonts w:ascii="Cambria" w:hAnsi="Cambria"/>
                <w:sz w:val="20"/>
                <w:szCs w:val="20"/>
              </w:rPr>
              <w:t>Meals</w:t>
            </w:r>
          </w:p>
        </w:tc>
        <w:tc>
          <w:tcPr>
            <w:tcW w:w="273" w:type="dxa"/>
            <w:shd w:val="clear" w:color="auto" w:fill="auto"/>
          </w:tcPr>
          <w:p w14:paraId="1367EDCE" w14:textId="77777777" w:rsidR="000B7961" w:rsidRPr="000B7961" w:rsidRDefault="000B7961" w:rsidP="004B4FCE">
            <w:pPr>
              <w:jc w:val="center"/>
              <w:rPr>
                <w:rFonts w:ascii="Cambria" w:hAnsi="Cambria"/>
                <w:b/>
                <w:sz w:val="20"/>
                <w:szCs w:val="20"/>
              </w:rPr>
            </w:pPr>
          </w:p>
        </w:tc>
        <w:tc>
          <w:tcPr>
            <w:tcW w:w="7698" w:type="dxa"/>
            <w:shd w:val="clear" w:color="auto" w:fill="auto"/>
          </w:tcPr>
          <w:p w14:paraId="151AB3A2" w14:textId="77777777" w:rsidR="000B7961" w:rsidRPr="000B7961" w:rsidRDefault="000B7961" w:rsidP="004B4FCE">
            <w:pPr>
              <w:rPr>
                <w:rFonts w:ascii="Cambria" w:hAnsi="Cambria"/>
                <w:b/>
                <w:sz w:val="20"/>
                <w:szCs w:val="20"/>
              </w:rPr>
            </w:pPr>
            <w:r w:rsidRPr="000B7961">
              <w:rPr>
                <w:rFonts w:ascii="Cambria" w:hAnsi="Cambria"/>
                <w:sz w:val="20"/>
                <w:szCs w:val="20"/>
              </w:rPr>
              <w:t>Alcoholic beverages are ineligible.</w:t>
            </w:r>
            <w:r w:rsidRPr="000B7961">
              <w:rPr>
                <w:rFonts w:ascii="Cambria" w:hAnsi="Cambria"/>
              </w:rPr>
              <w:t xml:space="preserve"> </w:t>
            </w:r>
            <w:r w:rsidRPr="000B7961">
              <w:rPr>
                <w:rFonts w:ascii="Cambria" w:hAnsi="Cambria"/>
                <w:sz w:val="20"/>
                <w:szCs w:val="20"/>
              </w:rPr>
              <w:t>When meals are provided at meetings or as part of airline/railway travel, meal costs are ineligible.</w:t>
            </w:r>
          </w:p>
        </w:tc>
      </w:tr>
      <w:tr w:rsidR="000B7961" w:rsidRPr="000B7961" w14:paraId="0533D3F3" w14:textId="77777777" w:rsidTr="004B4FCE">
        <w:tc>
          <w:tcPr>
            <w:tcW w:w="1698" w:type="dxa"/>
            <w:shd w:val="clear" w:color="auto" w:fill="auto"/>
          </w:tcPr>
          <w:p w14:paraId="4977088D" w14:textId="77777777" w:rsidR="000B7961" w:rsidRPr="000B7961" w:rsidRDefault="000B7961" w:rsidP="004B4FCE">
            <w:pPr>
              <w:rPr>
                <w:rFonts w:ascii="Cambria" w:hAnsi="Cambria"/>
                <w:sz w:val="20"/>
                <w:szCs w:val="20"/>
              </w:rPr>
            </w:pPr>
            <w:r w:rsidRPr="000B7961">
              <w:rPr>
                <w:rFonts w:ascii="Cambria" w:hAnsi="Cambria"/>
                <w:sz w:val="20"/>
                <w:szCs w:val="20"/>
              </w:rPr>
              <w:t>Accommodations</w:t>
            </w:r>
          </w:p>
        </w:tc>
        <w:tc>
          <w:tcPr>
            <w:tcW w:w="273" w:type="dxa"/>
            <w:shd w:val="clear" w:color="auto" w:fill="auto"/>
          </w:tcPr>
          <w:p w14:paraId="768FDAAB" w14:textId="77777777" w:rsidR="000B7961" w:rsidRPr="000B7961" w:rsidRDefault="000B7961" w:rsidP="004B4FCE">
            <w:pPr>
              <w:jc w:val="center"/>
              <w:rPr>
                <w:rFonts w:ascii="Cambria" w:hAnsi="Cambria"/>
                <w:b/>
                <w:sz w:val="20"/>
                <w:szCs w:val="20"/>
              </w:rPr>
            </w:pPr>
          </w:p>
        </w:tc>
        <w:tc>
          <w:tcPr>
            <w:tcW w:w="7698" w:type="dxa"/>
            <w:shd w:val="clear" w:color="auto" w:fill="auto"/>
          </w:tcPr>
          <w:p w14:paraId="07C4BCF9" w14:textId="77777777" w:rsidR="000B7961" w:rsidRPr="000B7961" w:rsidRDefault="000B7961" w:rsidP="004B4FCE">
            <w:pPr>
              <w:rPr>
                <w:rFonts w:ascii="Cambria" w:hAnsi="Cambria"/>
                <w:sz w:val="20"/>
                <w:szCs w:val="20"/>
              </w:rPr>
            </w:pPr>
            <w:r w:rsidRPr="000B7961">
              <w:rPr>
                <w:rFonts w:ascii="Cambria" w:hAnsi="Cambria"/>
                <w:sz w:val="20"/>
                <w:szCs w:val="20"/>
              </w:rPr>
              <w:t xml:space="preserve">Additional room charges are ineligible </w:t>
            </w:r>
            <w:proofErr w:type="gramStart"/>
            <w:r w:rsidRPr="000B7961">
              <w:rPr>
                <w:rFonts w:ascii="Cambria" w:hAnsi="Cambria"/>
                <w:sz w:val="20"/>
                <w:szCs w:val="20"/>
              </w:rPr>
              <w:t>including:</w:t>
            </w:r>
            <w:proofErr w:type="gramEnd"/>
            <w:r w:rsidRPr="000B7961">
              <w:rPr>
                <w:rFonts w:ascii="Cambria" w:hAnsi="Cambria"/>
                <w:sz w:val="20"/>
                <w:szCs w:val="20"/>
              </w:rPr>
              <w:t xml:space="preserve"> cancellation fees, recreational expenses, expenses for partner accompanied travelers. </w:t>
            </w:r>
          </w:p>
          <w:p w14:paraId="219250D6" w14:textId="77777777" w:rsidR="000B7961" w:rsidRPr="000B7961" w:rsidRDefault="000B7961" w:rsidP="004B4FCE">
            <w:pPr>
              <w:rPr>
                <w:rFonts w:ascii="Cambria" w:hAnsi="Cambria"/>
                <w:b/>
                <w:sz w:val="20"/>
                <w:szCs w:val="20"/>
              </w:rPr>
            </w:pPr>
            <w:r w:rsidRPr="000B7961">
              <w:rPr>
                <w:rFonts w:ascii="Cambria" w:hAnsi="Cambria"/>
                <w:sz w:val="20"/>
                <w:szCs w:val="20"/>
              </w:rPr>
              <w:t>Only accommodation directly relating to the OBI-related event can be reimbursed.</w:t>
            </w:r>
          </w:p>
        </w:tc>
      </w:tr>
    </w:tbl>
    <w:p w14:paraId="03E74ED7" w14:textId="77777777" w:rsidR="005E47D4" w:rsidRPr="00122F75" w:rsidRDefault="005E47D4">
      <w:pPr>
        <w:rPr>
          <w:rFonts w:ascii="Helvetica" w:hAnsi="Helvetica" w:cs="Helvetica"/>
          <w:sz w:val="18"/>
          <w:szCs w:val="20"/>
        </w:rPr>
      </w:pPr>
    </w:p>
    <w:sectPr w:rsidR="005E47D4" w:rsidRPr="00122F75" w:rsidSect="004D0F74">
      <w:headerReference w:type="even" r:id="rId7"/>
      <w:headerReference w:type="default" r:id="rId8"/>
      <w:footerReference w:type="even" r:id="rId9"/>
      <w:footerReference w:type="default" r:id="rId10"/>
      <w:headerReference w:type="first" r:id="rId11"/>
      <w:footerReference w:type="first" r:id="rId12"/>
      <w:pgSz w:w="12240" w:h="15840"/>
      <w:pgMar w:top="769" w:right="1440" w:bottom="1276" w:left="1440" w:header="567"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3AF05" w14:textId="77777777" w:rsidR="00191468" w:rsidRDefault="00191468">
      <w:r>
        <w:separator/>
      </w:r>
    </w:p>
  </w:endnote>
  <w:endnote w:type="continuationSeparator" w:id="0">
    <w:p w14:paraId="3926E0BA" w14:textId="77777777" w:rsidR="00191468" w:rsidRDefault="00191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0670F" w14:textId="77777777" w:rsidR="000C1262" w:rsidRDefault="00000000" w:rsidP="00BF02BA">
    <w:pPr>
      <w:pStyle w:val="Footer"/>
    </w:pPr>
  </w:p>
  <w:p w14:paraId="736EA87A" w14:textId="77777777" w:rsidR="000C1262" w:rsidRDefault="00000000" w:rsidP="00BF02BA"/>
  <w:p w14:paraId="77423E3D" w14:textId="77777777" w:rsidR="000C1262" w:rsidRDefault="00000000" w:rsidP="00BF02B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963091"/>
      <w:docPartObj>
        <w:docPartGallery w:val="Page Numbers (Bottom of Page)"/>
        <w:docPartUnique/>
      </w:docPartObj>
    </w:sdtPr>
    <w:sdtEndPr>
      <w:rPr>
        <w:noProof/>
      </w:rPr>
    </w:sdtEndPr>
    <w:sdtContent>
      <w:p w14:paraId="0538A6B6" w14:textId="77777777" w:rsidR="000C1262" w:rsidRPr="0096626F" w:rsidRDefault="00122F75" w:rsidP="00BF02BA">
        <w:pPr>
          <w:pStyle w:val="Footer"/>
        </w:pPr>
        <w:r w:rsidRPr="0096626F">
          <w:fldChar w:fldCharType="begin"/>
        </w:r>
        <w:r w:rsidRPr="0096626F">
          <w:instrText xml:space="preserve"> PAGE   \* MERGEFORMAT </w:instrText>
        </w:r>
        <w:r w:rsidRPr="0096626F">
          <w:fldChar w:fldCharType="separate"/>
        </w:r>
        <w:r>
          <w:rPr>
            <w:noProof/>
          </w:rPr>
          <w:t>3</w:t>
        </w:r>
        <w:r w:rsidRPr="0096626F">
          <w:rPr>
            <w:noProof/>
          </w:rPr>
          <w:fldChar w:fldCharType="end"/>
        </w:r>
      </w:p>
    </w:sdtContent>
  </w:sdt>
  <w:p w14:paraId="69605680" w14:textId="77777777" w:rsidR="000C1262" w:rsidRDefault="00000000" w:rsidP="00BF02BA">
    <w:pPr>
      <w:pStyle w:val="Footer"/>
    </w:pPr>
  </w:p>
  <w:p w14:paraId="2FE36A28" w14:textId="77777777" w:rsidR="000C1262" w:rsidRDefault="00000000" w:rsidP="00BF02BA"/>
  <w:p w14:paraId="426C4B76" w14:textId="77777777" w:rsidR="000C1262" w:rsidRDefault="00000000" w:rsidP="00BF02B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0622587"/>
      <w:docPartObj>
        <w:docPartGallery w:val="Page Numbers (Bottom of Page)"/>
        <w:docPartUnique/>
      </w:docPartObj>
    </w:sdtPr>
    <w:sdtEndPr>
      <w:rPr>
        <w:noProof/>
      </w:rPr>
    </w:sdtEndPr>
    <w:sdtContent>
      <w:p w14:paraId="2C0EACCA" w14:textId="77777777" w:rsidR="000C1262" w:rsidRDefault="00122F75" w:rsidP="00BF02BA">
        <w:pPr>
          <w:pStyle w:val="Footer"/>
        </w:pPr>
        <w:r>
          <w:fldChar w:fldCharType="begin"/>
        </w:r>
        <w:r>
          <w:instrText xml:space="preserve"> PAGE   \* MERGEFORMAT </w:instrText>
        </w:r>
        <w:r>
          <w:fldChar w:fldCharType="separate"/>
        </w:r>
        <w:r>
          <w:rPr>
            <w:noProof/>
          </w:rPr>
          <w:t>1</w:t>
        </w:r>
        <w:r>
          <w:rPr>
            <w:noProof/>
          </w:rPr>
          <w:fldChar w:fldCharType="end"/>
        </w:r>
      </w:p>
    </w:sdtContent>
  </w:sdt>
  <w:p w14:paraId="4A077C80" w14:textId="77777777" w:rsidR="000C1262" w:rsidRPr="00031C42" w:rsidRDefault="00000000" w:rsidP="00BF02BA">
    <w:pPr>
      <w:pStyle w:val="Footer"/>
    </w:pPr>
  </w:p>
  <w:p w14:paraId="1C402068" w14:textId="77777777" w:rsidR="000C1262" w:rsidRDefault="00000000" w:rsidP="00BF02BA"/>
  <w:p w14:paraId="6327EA74" w14:textId="77777777" w:rsidR="000C1262" w:rsidRDefault="00000000" w:rsidP="00BF02B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311FD" w14:textId="77777777" w:rsidR="00191468" w:rsidRDefault="00191468">
      <w:r>
        <w:separator/>
      </w:r>
    </w:p>
  </w:footnote>
  <w:footnote w:type="continuationSeparator" w:id="0">
    <w:p w14:paraId="4805704A" w14:textId="77777777" w:rsidR="00191468" w:rsidRDefault="001914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7336B" w14:textId="77777777" w:rsidR="000C1262" w:rsidRDefault="00000000" w:rsidP="00BF02BA">
    <w:pPr>
      <w:pStyle w:val="Header"/>
    </w:pPr>
  </w:p>
  <w:p w14:paraId="00FC58A1" w14:textId="77777777" w:rsidR="000C1262" w:rsidRDefault="00000000" w:rsidP="00BF02BA"/>
  <w:p w14:paraId="6BE0DA46" w14:textId="77777777" w:rsidR="000C1262" w:rsidRDefault="00000000" w:rsidP="00BF02B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198A" w14:textId="77777777" w:rsidR="000C1262" w:rsidRDefault="00122F75" w:rsidP="00BF02BA">
    <w:pPr>
      <w:pStyle w:val="Header"/>
    </w:pPr>
    <w:r>
      <w:rPr>
        <w:noProof/>
      </w:rPr>
      <w:drawing>
        <wp:anchor distT="0" distB="0" distL="114300" distR="114300" simplePos="0" relativeHeight="251660288" behindDoc="0" locked="0" layoutInCell="1" allowOverlap="1" wp14:anchorId="5E0509F1" wp14:editId="025B5D23">
          <wp:simplePos x="0" y="0"/>
          <wp:positionH relativeFrom="column">
            <wp:posOffset>-924128</wp:posOffset>
          </wp:positionH>
          <wp:positionV relativeFrom="paragraph">
            <wp:posOffset>-466928</wp:posOffset>
          </wp:positionV>
          <wp:extent cx="7841706" cy="1750979"/>
          <wp:effectExtent l="0" t="0" r="6985"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I Header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44729" cy="1751654"/>
                  </a:xfrm>
                  <a:prstGeom prst="rect">
                    <a:avLst/>
                  </a:prstGeom>
                </pic:spPr>
              </pic:pic>
            </a:graphicData>
          </a:graphic>
          <wp14:sizeRelH relativeFrom="page">
            <wp14:pctWidth>0</wp14:pctWidth>
          </wp14:sizeRelH>
          <wp14:sizeRelV relativeFrom="page">
            <wp14:pctHeight>0</wp14:pctHeight>
          </wp14:sizeRelV>
        </wp:anchor>
      </w:drawing>
    </w:r>
  </w:p>
  <w:p w14:paraId="392C921C" w14:textId="77777777" w:rsidR="000C1262" w:rsidRDefault="00000000" w:rsidP="00BF02BA"/>
  <w:p w14:paraId="7DEE00E1" w14:textId="77777777" w:rsidR="000C1262" w:rsidRDefault="00000000" w:rsidP="00BF02B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543A" w14:textId="77777777" w:rsidR="000C1262" w:rsidRDefault="00122F75" w:rsidP="00BF02BA">
    <w:pPr>
      <w:pStyle w:val="Header"/>
    </w:pPr>
    <w:r>
      <w:rPr>
        <w:noProof/>
      </w:rPr>
      <w:drawing>
        <wp:inline distT="0" distB="0" distL="0" distR="0" wp14:anchorId="0610C17D" wp14:editId="4BDB8D9C">
          <wp:extent cx="5943600" cy="708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I Foote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708660"/>
                  </a:xfrm>
                  <a:prstGeom prst="rect">
                    <a:avLst/>
                  </a:prstGeom>
                </pic:spPr>
              </pic:pic>
            </a:graphicData>
          </a:graphic>
        </wp:inline>
      </w:drawing>
    </w:r>
    <w:r>
      <w:rPr>
        <w:noProof/>
      </w:rPr>
      <w:drawing>
        <wp:anchor distT="0" distB="0" distL="114300" distR="114300" simplePos="0" relativeHeight="251659264" behindDoc="0" locked="0" layoutInCell="1" allowOverlap="1" wp14:anchorId="40D48928" wp14:editId="349E98E0">
          <wp:simplePos x="0" y="0"/>
          <wp:positionH relativeFrom="column">
            <wp:posOffset>-914400</wp:posOffset>
          </wp:positionH>
          <wp:positionV relativeFrom="paragraph">
            <wp:posOffset>-445009</wp:posOffset>
          </wp:positionV>
          <wp:extent cx="7778496" cy="17368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I Header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778496" cy="1736865"/>
                  </a:xfrm>
                  <a:prstGeom prst="rect">
                    <a:avLst/>
                  </a:prstGeom>
                </pic:spPr>
              </pic:pic>
            </a:graphicData>
          </a:graphic>
          <wp14:sizeRelH relativeFrom="page">
            <wp14:pctWidth>0</wp14:pctWidth>
          </wp14:sizeRelH>
          <wp14:sizeRelV relativeFrom="page">
            <wp14:pctHeight>0</wp14:pctHeight>
          </wp14:sizeRelV>
        </wp:anchor>
      </w:drawing>
    </w:r>
  </w:p>
  <w:p w14:paraId="28DFDF1B" w14:textId="77777777" w:rsidR="000C1262" w:rsidRDefault="00000000" w:rsidP="00BF02BA"/>
  <w:p w14:paraId="2F7EE4D4" w14:textId="77777777" w:rsidR="000C1262" w:rsidRDefault="00000000" w:rsidP="00BF02B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E5732"/>
    <w:multiLevelType w:val="hybridMultilevel"/>
    <w:tmpl w:val="CF92CC3C"/>
    <w:lvl w:ilvl="0" w:tplc="1009000F">
      <w:start w:val="1"/>
      <w:numFmt w:val="decimal"/>
      <w:lvlText w:val="%1."/>
      <w:lvlJc w:val="left"/>
      <w:pPr>
        <w:ind w:left="720" w:hanging="360"/>
      </w:pPr>
      <w:rPr>
        <w:rFonts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23D2C93"/>
    <w:multiLevelType w:val="hybridMultilevel"/>
    <w:tmpl w:val="1FC06E40"/>
    <w:lvl w:ilvl="0" w:tplc="46D60632">
      <w:start w:val="3"/>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133451465">
    <w:abstractNumId w:val="0"/>
  </w:num>
  <w:num w:numId="2" w16cid:durableId="2023513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75"/>
    <w:rsid w:val="00016E6A"/>
    <w:rsid w:val="000B2486"/>
    <w:rsid w:val="000B7961"/>
    <w:rsid w:val="00122F75"/>
    <w:rsid w:val="00191468"/>
    <w:rsid w:val="00383AA9"/>
    <w:rsid w:val="004544EC"/>
    <w:rsid w:val="005E47D4"/>
    <w:rsid w:val="00640ABC"/>
    <w:rsid w:val="006F774B"/>
    <w:rsid w:val="00A43FC7"/>
    <w:rsid w:val="00AF2AD9"/>
    <w:rsid w:val="00F52E1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5465"/>
  <w15:chartTrackingRefBased/>
  <w15:docId w15:val="{584C5456-5EEF-4958-ACCB-3D364754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F75"/>
    <w:pPr>
      <w:spacing w:after="0" w:line="240" w:lineRule="auto"/>
    </w:pPr>
    <w:rPr>
      <w:szCs w:val="24"/>
    </w:rPr>
  </w:style>
  <w:style w:type="paragraph" w:styleId="Heading1">
    <w:name w:val="heading 1"/>
    <w:basedOn w:val="Normal"/>
    <w:next w:val="Normal"/>
    <w:link w:val="Heading1Char"/>
    <w:uiPriority w:val="9"/>
    <w:qFormat/>
    <w:rsid w:val="00122F75"/>
    <w:pPr>
      <w:spacing w:line="360" w:lineRule="auto"/>
      <w:jc w:val="both"/>
      <w:outlineLvl w:val="0"/>
    </w:pPr>
    <w:rPr>
      <w:rFonts w:ascii="Lucida Sans" w:hAnsi="Lucida Sans"/>
      <w:b/>
      <w:smallCaps/>
      <w:color w:val="F9423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F75"/>
    <w:rPr>
      <w:rFonts w:ascii="Lucida Sans" w:hAnsi="Lucida Sans"/>
      <w:b/>
      <w:smallCaps/>
      <w:color w:val="F9423A"/>
      <w:sz w:val="24"/>
      <w:szCs w:val="24"/>
    </w:rPr>
  </w:style>
  <w:style w:type="paragraph" w:styleId="Header">
    <w:name w:val="header"/>
    <w:basedOn w:val="Normal"/>
    <w:link w:val="HeaderChar"/>
    <w:uiPriority w:val="99"/>
    <w:unhideWhenUsed/>
    <w:rsid w:val="00122F75"/>
    <w:pPr>
      <w:tabs>
        <w:tab w:val="center" w:pos="4320"/>
        <w:tab w:val="right" w:pos="8640"/>
      </w:tabs>
    </w:pPr>
  </w:style>
  <w:style w:type="character" w:customStyle="1" w:styleId="HeaderChar">
    <w:name w:val="Header Char"/>
    <w:basedOn w:val="DefaultParagraphFont"/>
    <w:link w:val="Header"/>
    <w:uiPriority w:val="99"/>
    <w:rsid w:val="00122F75"/>
    <w:rPr>
      <w:szCs w:val="24"/>
    </w:rPr>
  </w:style>
  <w:style w:type="paragraph" w:styleId="Footer">
    <w:name w:val="footer"/>
    <w:basedOn w:val="Normal"/>
    <w:link w:val="FooterChar"/>
    <w:uiPriority w:val="99"/>
    <w:unhideWhenUsed/>
    <w:rsid w:val="00122F75"/>
    <w:pPr>
      <w:tabs>
        <w:tab w:val="center" w:pos="4320"/>
        <w:tab w:val="right" w:pos="8640"/>
      </w:tabs>
    </w:pPr>
  </w:style>
  <w:style w:type="character" w:customStyle="1" w:styleId="FooterChar">
    <w:name w:val="Footer Char"/>
    <w:basedOn w:val="DefaultParagraphFont"/>
    <w:link w:val="Footer"/>
    <w:uiPriority w:val="99"/>
    <w:rsid w:val="00122F75"/>
    <w:rPr>
      <w:szCs w:val="24"/>
    </w:rPr>
  </w:style>
  <w:style w:type="paragraph" w:styleId="ListParagraph">
    <w:name w:val="List Paragraph"/>
    <w:basedOn w:val="Normal"/>
    <w:uiPriority w:val="34"/>
    <w:qFormat/>
    <w:rsid w:val="00122F75"/>
    <w:pPr>
      <w:ind w:left="720"/>
      <w:contextualSpacing/>
    </w:pPr>
  </w:style>
  <w:style w:type="table" w:styleId="TableGrid">
    <w:name w:val="Table Grid"/>
    <w:basedOn w:val="TableNormal"/>
    <w:uiPriority w:val="59"/>
    <w:rsid w:val="000B796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452</Words>
  <Characters>2582</Characters>
  <Application>Microsoft Office Word</Application>
  <DocSecurity>0</DocSecurity>
  <Lines>21</Lines>
  <Paragraphs>6</Paragraphs>
  <ScaleCrop>false</ScaleCrop>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Chepesiuk</dc:creator>
  <cp:keywords/>
  <dc:description/>
  <cp:lastModifiedBy>Rachel Chepesiuk</cp:lastModifiedBy>
  <cp:revision>4</cp:revision>
  <dcterms:created xsi:type="dcterms:W3CDTF">2022-07-21T21:06:00Z</dcterms:created>
  <dcterms:modified xsi:type="dcterms:W3CDTF">2022-07-21T21:07:00Z</dcterms:modified>
</cp:coreProperties>
</file>